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C6DFC">
        <w:rPr>
          <w:rFonts w:ascii="Arial" w:hAnsi="Arial" w:cs="Arial"/>
          <w:b/>
          <w:bCs/>
          <w:sz w:val="20"/>
          <w:szCs w:val="20"/>
        </w:rPr>
        <w:t>2016</w:t>
      </w:r>
      <w:r w:rsidRPr="008C6DFC"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 w:rsidRPr="008C6DFC">
        <w:rPr>
          <w:rFonts w:ascii="Arial" w:hAnsi="Arial" w:cs="Arial"/>
          <w:b/>
          <w:bCs/>
          <w:sz w:val="20"/>
          <w:szCs w:val="20"/>
        </w:rPr>
        <w:tab/>
      </w:r>
      <w:r w:rsidRPr="008C6DF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C6DFC">
        <w:rPr>
          <w:rFonts w:ascii="Arial" w:hAnsi="Arial" w:cs="Arial"/>
          <w:b/>
          <w:bCs/>
          <w:sz w:val="20"/>
          <w:szCs w:val="20"/>
        </w:rPr>
        <w:tab/>
      </w:r>
      <w:r w:rsidRPr="008C6DFC">
        <w:rPr>
          <w:rFonts w:ascii="Arial" w:hAnsi="Arial" w:cs="Arial"/>
          <w:b/>
          <w:bCs/>
          <w:sz w:val="20"/>
          <w:szCs w:val="20"/>
        </w:rPr>
        <w:tab/>
      </w:r>
      <w:r w:rsidRPr="008C6DFC">
        <w:rPr>
          <w:rFonts w:ascii="Arial" w:hAnsi="Arial" w:cs="Arial"/>
          <w:b/>
          <w:bCs/>
          <w:sz w:val="20"/>
          <w:szCs w:val="20"/>
        </w:rPr>
        <w:tab/>
        <w:t>Procedimentos Operacionais Padrão - Bethel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POP-BETHEL-21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CÓDIGO UNIFORME PARA BETHÉIS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NOME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(a) O nome desta organização é Bethel Nº </w:t>
      </w:r>
      <w:r>
        <w:rPr>
          <w:rFonts w:ascii="Arial" w:hAnsi="Arial" w:cs="Arial"/>
        </w:rPr>
        <w:t>______</w:t>
      </w:r>
      <w:r w:rsidRPr="008C6DFC">
        <w:rPr>
          <w:rFonts w:ascii="Arial" w:hAnsi="Arial" w:cs="Arial"/>
        </w:rPr>
        <w:t xml:space="preserve"> de </w:t>
      </w:r>
      <w:r w:rsidRPr="00364685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</w:t>
      </w:r>
      <w:r w:rsidRPr="00364685">
        <w:rPr>
          <w:rFonts w:ascii="Arial" w:hAnsi="Arial" w:cs="Arial"/>
        </w:rPr>
        <w:t>________________</w:t>
      </w:r>
      <w:r w:rsidRPr="008C6DFC">
        <w:rPr>
          <w:rFonts w:ascii="Arial" w:hAnsi="Arial" w:cs="Arial"/>
          <w:b/>
        </w:rPr>
        <w:t xml:space="preserve"> </w:t>
      </w:r>
      <w:r w:rsidRPr="008C6DFC">
        <w:rPr>
          <w:rFonts w:ascii="Arial" w:hAnsi="Arial" w:cs="Arial"/>
        </w:rPr>
        <w:t>das</w:t>
      </w:r>
      <w:r>
        <w:rPr>
          <w:rFonts w:ascii="Arial" w:hAnsi="Arial" w:cs="Arial"/>
        </w:rPr>
        <w:t xml:space="preserve"> FJI.</w:t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</w:r>
      <w:r w:rsidR="008B618D">
        <w:rPr>
          <w:rFonts w:ascii="Arial" w:hAnsi="Arial" w:cs="Arial"/>
        </w:rPr>
        <w:tab/>
        <w:t xml:space="preserve">       </w:t>
      </w:r>
      <w:r w:rsidRPr="008B618D">
        <w:rPr>
          <w:rFonts w:ascii="Arial" w:hAnsi="Arial" w:cs="Arial"/>
          <w:i/>
          <w:sz w:val="18"/>
          <w:szCs w:val="18"/>
        </w:rPr>
        <w:t>(</w:t>
      </w:r>
      <w:r w:rsidR="008B618D" w:rsidRPr="008B618D">
        <w:rPr>
          <w:rFonts w:ascii="Arial" w:hAnsi="Arial" w:cs="Arial"/>
          <w:i/>
          <w:sz w:val="18"/>
          <w:szCs w:val="18"/>
        </w:rPr>
        <w:t>Cidade/Local)</w:t>
      </w:r>
      <w:r w:rsidR="008B618D" w:rsidRPr="008B618D">
        <w:rPr>
          <w:rFonts w:ascii="Arial" w:hAnsi="Arial" w:cs="Arial"/>
          <w:i/>
          <w:sz w:val="18"/>
          <w:szCs w:val="18"/>
        </w:rPr>
        <w:tab/>
        <w:t>(Estado, Província, Território, País)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(a) Este Bethel foi instituído em </w:t>
      </w:r>
      <w:r w:rsidR="008B618D">
        <w:rPr>
          <w:rFonts w:ascii="Arial" w:hAnsi="Arial" w:cs="Arial"/>
        </w:rPr>
        <w:t xml:space="preserve">(data) </w:t>
      </w:r>
      <w:r w:rsidR="008B618D" w:rsidRPr="008B618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 opera sob autoridade de uma Carta Constitutiva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concedida pelo Supremo/Grande Conselho Guardião em (data) </w:t>
      </w:r>
      <w:r w:rsidRPr="008B618D">
        <w:rPr>
          <w:rFonts w:ascii="Arial" w:hAnsi="Arial" w:cs="Arial"/>
        </w:rPr>
        <w:t>____________________</w:t>
      </w:r>
      <w:r w:rsidRPr="008C6DFC">
        <w:rPr>
          <w:rFonts w:ascii="Arial" w:hAnsi="Arial" w:cs="Arial"/>
        </w:rPr>
        <w:t>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OBJETIVO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 objetivo desta organização é reunir moças, como a seguir designadas, para o crescimento moral e espiritual, para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desenvolver liderança, buscar conhecimento, ensinar amor a Deus, amor ao País, respeito por sua Bandeira, amor ao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lar e à família, e reverência aos ensinamentos das Sagradas Escrituras.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III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ASSOCIAÇÃO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1 - Elegibilidade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Moças com idade entre dez (10) e vinte (20) anos que possuam parentesco Maçônico devem ter direito à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associação. Parentesco Maçônico deve ser interpretado como significando um parentesco por sangue, casamento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lei com: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um Maçom (Vide POL-BOT-2),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sua esposa ou viúva,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um membro das Filhas de Jó,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(4) ou um Membro de Maioridade das Filhas de Jó.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Se, depois de uma procura exaustiva e diligente, não puder ser verificado um parentesco Maçônico para uma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Requerente, um Membro de Maioridade e um Mestre maçom (outros que não sejam a Guardiã do Bethel ou 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Guardião Associado do Bethel) pode apadrinhar a Requerente.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lastRenderedPageBreak/>
        <w:t>(c) Uma mulher com idade inferior a vinte (20) anos que tenha se casado, divorciado, cujo casamento tenha sido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anulado ou que esteja ou já tenha estado grávida, exceto em caso de estupro (ou terminologia equivalente)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incesto, não é elegível para associação.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2 - Petições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Os membros devem ser recebidos através de Petição para Associação (Formulário 130). Os membros podem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também ser recebidos através de Petição por Filiação (Formulário 131) quando acompanhadas pela Licença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(Formulário 210).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Petições para associação devem ser recebidas e lidas em uma reunião regular do Bethel realizada em data anterior à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data da iniciação (Vide E-GCG Art XVII Seç. 1.20)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3. Visitação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Formulários oficiais de Visitação (Formulário 132) devem ser fornecidos a um Comitê de Visitação composto por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três (3) membros do Bethel, que devem entregar um relatório completo para a Guardiã do Bethel antes da reunião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regular seguinte do Bethel.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IV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REUNIÕES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Hora e Local</w:t>
      </w:r>
    </w:p>
    <w:p w:rsidR="00364685" w:rsidRPr="00734191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8C6DFC">
        <w:rPr>
          <w:rFonts w:ascii="Arial" w:hAnsi="Arial" w:cs="Arial"/>
        </w:rPr>
        <w:t>(a) As reuniões regulares deste Bethel devem ser realizadas no</w:t>
      </w:r>
      <w:r w:rsidR="00734191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</w:t>
      </w:r>
      <w:r w:rsidR="00734191">
        <w:rPr>
          <w:rFonts w:ascii="Arial" w:hAnsi="Arial" w:cs="Arial"/>
        </w:rPr>
        <w:t>____________________</w:t>
      </w:r>
      <w:r w:rsidRPr="008C6DFC">
        <w:rPr>
          <w:rFonts w:ascii="Arial" w:hAnsi="Arial" w:cs="Arial"/>
        </w:rPr>
        <w:t xml:space="preserve"> às </w:t>
      </w:r>
      <w:r w:rsidR="00734191" w:rsidRPr="00734191">
        <w:rPr>
          <w:rFonts w:ascii="Arial" w:hAnsi="Arial" w:cs="Arial"/>
        </w:rPr>
        <w:t>___</w:t>
      </w:r>
      <w:r w:rsidR="00734191">
        <w:rPr>
          <w:rFonts w:ascii="Arial" w:hAnsi="Arial" w:cs="Arial"/>
        </w:rPr>
        <w:t>__</w:t>
      </w:r>
      <w:r w:rsidR="00734191" w:rsidRPr="00734191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>
        <w:rPr>
          <w:rFonts w:ascii="Arial" w:hAnsi="Arial" w:cs="Arial"/>
        </w:rPr>
        <w:tab/>
      </w:r>
      <w:r w:rsidR="00734191" w:rsidRPr="00734191">
        <w:rPr>
          <w:rFonts w:ascii="Arial" w:hAnsi="Arial" w:cs="Arial"/>
          <w:i/>
          <w:sz w:val="18"/>
          <w:szCs w:val="18"/>
        </w:rPr>
        <w:t>(Dia da semana)</w:t>
      </w:r>
      <w:r w:rsidR="00734191">
        <w:rPr>
          <w:rFonts w:ascii="Arial" w:hAnsi="Arial" w:cs="Arial"/>
          <w:i/>
          <w:sz w:val="18"/>
          <w:szCs w:val="18"/>
        </w:rPr>
        <w:tab/>
      </w:r>
      <w:r w:rsidR="00734191">
        <w:rPr>
          <w:rFonts w:ascii="Arial" w:hAnsi="Arial" w:cs="Arial"/>
          <w:i/>
          <w:sz w:val="18"/>
          <w:szCs w:val="18"/>
        </w:rPr>
        <w:tab/>
        <w:t xml:space="preserve">    (Horário)</w:t>
      </w:r>
    </w:p>
    <w:p w:rsidR="00734191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 O local de reunião deve ser</w:t>
      </w:r>
      <w:r w:rsidR="00734191">
        <w:rPr>
          <w:rFonts w:ascii="Arial" w:hAnsi="Arial" w:cs="Arial"/>
        </w:rPr>
        <w:t>:</w:t>
      </w:r>
    </w:p>
    <w:p w:rsidR="00734191" w:rsidRDefault="00734191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34191" w:rsidRPr="00734191" w:rsidRDefault="00734191" w:rsidP="00734191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(Endereço)</w:t>
      </w:r>
    </w:p>
    <w:p w:rsidR="00734191" w:rsidRDefault="00734191" w:rsidP="0073419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34191" w:rsidRPr="00734191" w:rsidRDefault="00734191" w:rsidP="00734191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(Estado, Território, Província, País)</w:t>
      </w:r>
    </w:p>
    <w:p w:rsidR="00364685" w:rsidRDefault="00734191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As reuniões deste Bethel devem ser conduzidas de acordo com o Ritual da Ordem e em conformidade com as leis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do Supremo/Grande Conselho Guardião e a última edição das Regras de Ordem de Robert Revisadas. Escolta,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Apresentações e Honrarias devem seguir o Ritual para as categorias 1-19 (pág. 51). Os Membros Executivos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CGB devem aprovar e fornecer à Honorável Rainha os títulos e a Ordem para a Categoria 20, Outros (Vide Ritual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pág. 53) de acordo com a POP-Bethel-6.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Nenhuma reunião pode abrir sem a presença da Carta Constitutiva e sete (7) membros do Bethel, incluindo uma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das três (3) primeiras Oficiais. Também deve estar presente pelo menos um (1) membro Executivo do CGB,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ou um(a) oficial do Supremo/Grande Conselho Guardião, ou um(a) Supremo(a)/Grande Deputado(a).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lastRenderedPageBreak/>
        <w:t>(c) No caso de o quadro de membros do Bethel ter declinado a ponto de não haver os sete (7) membros exigidos, uma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reunião com o propósito de leitura de petições, iniciação, processo de filiações, votação para mudança ou fusão,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instalação de membros do CGB, pode ser realizada com um número menor de membros contanto que pelo menos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uma (1) das três (3) primeiras oficiais, pelo menos um (1) membro Executivo do Conselho Guardião do Bethel,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o(a) Deputado(a), ou um oficial do Supremo/Grande Conselho Guardião e a Carta Constitutiva, estejam presentes.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(d) O período de férias para este Bethel deve ser nos meses de </w:t>
      </w:r>
      <w:r w:rsidR="00734191">
        <w:rPr>
          <w:rFonts w:ascii="Arial" w:hAnsi="Arial" w:cs="Arial"/>
        </w:rPr>
        <w:t>_______________________________ e _______________________________</w:t>
      </w:r>
      <w:r>
        <w:rPr>
          <w:rFonts w:ascii="Arial" w:hAnsi="Arial" w:cs="Arial"/>
        </w:rPr>
        <w:t xml:space="preserve"> </w:t>
      </w:r>
      <w:r w:rsidR="00734191">
        <w:rPr>
          <w:rFonts w:ascii="Arial" w:hAnsi="Arial" w:cs="Arial"/>
        </w:rPr>
        <w:t>(</w:t>
      </w:r>
      <w:r w:rsidRPr="008C6DFC">
        <w:rPr>
          <w:rFonts w:ascii="Arial" w:hAnsi="Arial" w:cs="Arial"/>
        </w:rPr>
        <w:t>não excedendo dois (2) meses</w:t>
      </w:r>
      <w:r w:rsidR="00734191">
        <w:rPr>
          <w:rFonts w:ascii="Arial" w:hAnsi="Arial" w:cs="Arial"/>
        </w:rPr>
        <w:t>)</w:t>
      </w:r>
      <w:r w:rsidRPr="008C6DFC">
        <w:rPr>
          <w:rFonts w:ascii="Arial" w:hAnsi="Arial" w:cs="Arial"/>
        </w:rPr>
        <w:t>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Um Bethel pode dispensar sua reunião durante a Sessão Anual do Supremo/Grande Conselho Guardião.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(f) Nas reuniões regulares, quando as portas estão abertas, qualquer pessoa pode ver a Cerimônia de Abertura até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apresentação da Bandeira do Bethel e durante as Formações de Encerramento. O trabalho ritualístico é confidencial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 partir do final da apresentação da Bandeira do Bethel até a Honorável Rainha instruir a Guarda Interna a informar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à Guarda Externa que o Bethel está fechado.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(g) Supremas Honrarias, Grandes Honrarias ou Honrarias de Bethel e outras Lições de Proficiência somente podem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concedidas pelas Filhas em uma reunião fechada do Bethel ou exemplificação do trabalho ritualístico.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(h) A Honorável Rainha deve presidir durante as reuniões regulares do Bethel. Em caso de emergência, a posição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Honorável Rainha pode ser ocupada por uma Past Honorável Rainha ativa. Se não houver Past Honorável Rainha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ativa presente, a sucessão de oficiais deve ser Primeira Princesa, Segunda Princesa, Guia e Dirigente de Cerimônias.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(i) Não devem ser feitas fotografias em uma reunião fechada.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(j) Não devem ser utilizados equipamentos de chama, como velas e/ou candelabros, em reunião alguma do Bethel.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Velas e candelabros elétricos podem ser usados.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(k) Deve haver um Culto Religioso oficial durante cada gestão do Bethel. Esse culto deve ocorrer em um local religioso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apropriado a ser escolhido pela Honorável Rainha e aprovado pelos membros Executivos do CGB.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(l) Uma cerimônia adequada em homenagem a Sra. Ethel T. Wead Mick, a fundadora das Filhas de Jó Internacional,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deve ser realizada por este Bethel durante o mês de Março, o mês de seu nascimento.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(m) Os membros do Bethel devem: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Entrar no semicírculo das Mensageiras ao entrar ou sair de um Bethel enquanto em sessão.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Conceder honrarias e outras Lições de Proficiência apenas em reuniões fechadas do Bethel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exemplificações do trabalho ritualístico.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Assumir a Atitude de Prece enquanto a Capelã estiver no Altar.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(4) Exibir um recibo de taxas e ser examinada, a menos que seja afiançada por um membro do Bethel, Membro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 Maioridade, ou membro do Supremo, Grande ou Conselho Guardião do Bethel.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31DF8" w:rsidRDefault="00631DF8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lastRenderedPageBreak/>
        <w:t>Seção 3 - Comparecimento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Comparecimento de adultos: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Todo adulto testemunhando uma cerimônia ritualística ou comparecendo a uma reunião do Bethel deve ter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vinte (20) anos de idade a menos que especificado em contrário e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(a) um Mestre Maçom regular, incluindo abaixo de 20 anos de idade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uma descendente direta de um Mestre Maçom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esposa, filha, neta, bisneta, filha adotada por lei, mãe, avó, irmã, meio-irmã, filha de padrasto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madrasta, sobrinha, sobrinha-neta, nora, enteada, filha de enteado(a) ou enteada de filho/filha, cunhada,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prima em primeiro e segundo graus ou viúva de um Mestre Maçom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(d) membros de uma organização que baseie seus requisitos de associação em relacionamento Maçônico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Past Guardiões de Bethel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(f) Membros de Maioridade das FJI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(g) os pais, avós, padrasto, madrasta, ou guardiões de um membro do Bethel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(h) uma mulher com menos de vinte (20) anos de idade que seja membro de uma organização que baseie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seus requisitos de associação em relacionamento Maçônico, ou que, se casada, seja elegível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associação em tal organização, ou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(i) o marido de um Membro de Maioridade.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O comparecimento de adultos a reuniões do Bethel é um privilégio que é dado e pode ser retirado pelos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membros Executivos do CGB.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Um adulto não tem o direito de debater questões que surjam em uma reunião do Bethel, a não ser que seja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 membro Executivo do CGB ou um Membro de Maioridade do Bethel.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V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OFICIAIS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1 - Eletivas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As oficiais eletivas devem ser Honorável Rainha, Primeira Princesa, Segunda Princesa, Guia e Dirigente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Cerimônias.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2 - Nomeadas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As oficiais nomeadas devem ser Secretária, Tesoureira, Capelã, Bibliotecária, Musicista, Primeira Mensageira,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Segunda Mensageira, Terceira Mensageira, Quarta Mensageira, Quinta Mensageira, Primeira Zeladora, Segunda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Zeladora, Guarda Interna e Guarda Externa.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3 - Substitutas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 Honorável Rainha, com a aprovação dos membros Executivos do Conselho Guardião do Bethel, pode indicar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oficiais substitutas para aprender o trabalho ritualístico dos cargos para os quais foram </w:t>
      </w:r>
      <w:r w:rsidRPr="008C6DFC">
        <w:rPr>
          <w:rFonts w:ascii="Arial" w:hAnsi="Arial" w:cs="Arial"/>
        </w:rPr>
        <w:lastRenderedPageBreak/>
        <w:t>indicadas, e substituir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oficiais ausentes. Em caso de emergência resultante da ausência de ambas, oficial regular e oficial substituta, um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membro requisitado a fazer uma substituição pode ler o trabalho.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VI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ELEIÇÃO/NOMEAÇÃO DAS OFICIAIS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Elegibilidade para Eleição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Para ser elegível a qualquer cargo eletivo uma Filha deve ter passado satisfatoriamente no Exame das Lições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Proficiência, edição corrente do Ritual. Ela deve também ter sido um membro do Bethel e com frequência regular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durante toda a gestão na qual a eleição é realizada, para ser elegível à eleição, exceto no caso de um Bethel novo ou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 um Bethel em Reorganização.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Freq</w:t>
      </w:r>
      <w:r>
        <w:rPr>
          <w:rFonts w:ascii="Arial" w:hAnsi="Arial" w:cs="Arial"/>
        </w:rPr>
        <w:t>u</w:t>
      </w:r>
      <w:r w:rsidRPr="008C6DFC">
        <w:rPr>
          <w:rFonts w:ascii="Arial" w:hAnsi="Arial" w:cs="Arial"/>
        </w:rPr>
        <w:t>ência regular deve ser interpretada como presença em todas as reuniões regulares do Bethel, a menos que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ausência seja justificada pelos membros Executivos do CGB por boas e suficientes razões.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Eleição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 eleição de oficiais deve acontecer na segunda reunião dos meses de maio e novembro.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 eleição deve ser por votação sem indicação. Vence a maioria dos votos.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O método de votação deve ser: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Voto secreto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Viva voz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(d) O procedimento detalhado a ser seguido na condução da eleição deve ser determinado pelos membros Executivos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do CGB.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Apenas membros presentes podem ser eleitos, exceto em caso de doença ou ausência inevitável. Os membros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Executivos do CGB presentes devem decidir e anunciar a elegibilidade do membro ausente.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(f) Todos os membros possuem o direito de votar até o final de sua gestão, mesmo que completem vinte (20) anos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durante a gestão.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(g) Através de dispensa especial concedida pela Suprema/Grande Guardiã, o Bethel pode eleger oficiais em um período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diferente do previsto na Seção 1 (a) deste Artigo. Solicitações de Dispensas Especiais de Bethéis jurisdicionados ao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Supremo devem ser submetidas elo formulário 200 e enviadas à/ao sua/seu Suprema(o) Deputada(o).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3. Nomeação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Oficiais nomeadas devem ser indicadas pela Honorável Rainha eleita com aprovação dos membros Executivos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CGB.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31DF8" w:rsidRDefault="00631DF8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631DF8" w:rsidRDefault="00631DF8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lastRenderedPageBreak/>
        <w:t>ARTIGO VII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GESTÃO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 gestão deve ser de seis (6) meses.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Qualquer oficial que completar vinte (20) anos de idade após ter sido eleita ou nomeada para um cargo, deve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completar seu mandato mas não deve ser reeleita ou renomeada.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VIII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INSTALAÇÃO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 instalação deve ocorrer durante os meses de junho e dezembro. A primeira ou segunda reunião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em junho e dezembro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pode ter o propósito de instalação sem abertura e fechamento formais.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Uma oficial, eleita ou nomeada, ausente quando as oficiais forem instaladas, deve ser instalada na reunião regular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seguinte do Bethel, a menos que sua ausência seja justificada pelos membros Executivos do CGB.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Uma Filha não pode ser instalada como oficial a menos que suas taxas estejam pagas até o final da gestão que se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inicia.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(d) Nenhuma oficial deve ser instalada por procuração.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Não deve haver equipamento com chama, como velas e/ou candelabros em qualquer instalação do Bethel. Velas 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candelabros elétricos podem ser usados.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(f) As Oficiais podem ser instaladas em instalações abertas e registros fotográficos podem ser permitidos em tais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instalações desde que não prejudiquem a cerimônia de forma alguma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(g) Através de dispensa especial da Suprema/Grande Guardiã, o Bethel pode instalar as oficiais em um período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diferente do previsto na Seção 1 (a) acima.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IX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COMITÊS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Depois da instalação, a Honorável Rainha deve nomear os comitês a seguir e tantos outros quanto julgados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recomendáveis pelos membros Executivos do CGB: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Comitê de Auditoria, composto por três (3) membros. Consulte o Ritual para uma explicação dos deveres.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Comitê de Juramento, composto por três (3) membros auxiliados por um membro Executivo do CGB,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preferencialmente o Guardião Associado do Bethel. O dever deste comitê deve ser transmitir o Juramento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Honra para visitantes atrasados não-juramentados (vide Ritual).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Comitê de Proficiência, composto por pelo menos três (3) membros. O dever deste comitê deve ser auxiliar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os membros no aprendizado das informações necessárias para passar pelo Exame das Lições de Proficiência.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lastRenderedPageBreak/>
        <w:t>ARTIGO X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VACÂNCIAS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Caso o posto de Honorável Rainha fique vago durante a gestão, os membros Executivos do CGB devem nomear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uma substituta para o cargo. Uma Past Honorável Rainha, ou se não houver Past Honorável Rainha disponível, um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Membro de Maioridade, com a condição, para ambos os casos, de não ter se casado ou estado grávida, deve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nomeada para preencher a vaga.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Contudo, quando uma vacância ocorre em qualquer cargo eletivo, e se julgado recomendável pelos membros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Executivos do CGB, uma eleição especial pode ser realizada para preencher tal vaga.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Uma vaga em um cargo nomeado deve ser preenchida por um membro nomeado pela Honorável Rainha e aprovado pelos membros Executivos do CGB.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FINANÇAS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Receitas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Todas as quantias auferidas em nome de um Bethel devem ser recebidas pela Secretária do Bethel/Guardiã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Secretária e repassadas para a Tesoureira do Bethel/Guardiã Tesoureira.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Taxas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(a) A taxa de iniciação deve ser de </w:t>
      </w:r>
      <w:r w:rsidR="00631DF8">
        <w:rPr>
          <w:rFonts w:ascii="Arial" w:hAnsi="Arial" w:cs="Arial"/>
        </w:rPr>
        <w:t>______________________________________________________</w:t>
      </w:r>
      <w:r w:rsidRPr="008C6DFC">
        <w:rPr>
          <w:rFonts w:ascii="Arial" w:hAnsi="Arial" w:cs="Arial"/>
        </w:rPr>
        <w:t>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 taxa de filiação deve ser metade (1/2) da taxa de iniciação.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3. Taxa Anual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(a) A taxa para cada membro deve ser de </w:t>
      </w:r>
      <w:r w:rsidR="00631DF8">
        <w:rPr>
          <w:rFonts w:ascii="Arial" w:hAnsi="Arial" w:cs="Arial"/>
        </w:rPr>
        <w:t>______________________________</w:t>
      </w:r>
      <w:r w:rsidRPr="008C6DFC">
        <w:rPr>
          <w:rFonts w:ascii="Arial" w:hAnsi="Arial" w:cs="Arial"/>
        </w:rPr>
        <w:t xml:space="preserve"> por ano, mais dez vírgula doze ($10,12) USD, CAD,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AUD, PHP, BRL, etc, iniciando em 31 de dezembro de 2007, e anualmente reajustada em dois por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cento (2%).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taxa deve ser paga antecipadamente, em 1º de janeiro de cada ano. Membros cujas taxas não tenham sido pagas por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 período de um (1) ano devem ser considerados inadimplentes.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  <w:b/>
          <w:bCs/>
        </w:rPr>
        <w:t xml:space="preserve">Seção 4. Isenções de Taxas </w:t>
      </w:r>
      <w:r w:rsidRPr="008C6DFC">
        <w:rPr>
          <w:rFonts w:ascii="Arial" w:hAnsi="Arial" w:cs="Arial"/>
        </w:rPr>
        <w:t>(Vide E-GCG Art. XVII Seç. 1.22)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Candidatas à iniciação e membros que residem em Lares Maçônicos ou lares mantidos por uma organização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baseada em associação ou relacionamento Maçônico, não serão requisitadas a pagar taxas de iniciação ou anuais.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5. Despesas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Quaisquer quantias só devem ser gastas por maioria de votos dos membros presentes em uma reunião regular e por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 com o consentimento dos membros Executivos do CGB. Quando devidamente autorizado, uma ordem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pagamento deve ser emitida e assinada pela Guardiã do Bethel, Secretária </w:t>
      </w:r>
      <w:r w:rsidRPr="008C6DFC">
        <w:rPr>
          <w:rFonts w:ascii="Arial" w:hAnsi="Arial" w:cs="Arial"/>
        </w:rPr>
        <w:lastRenderedPageBreak/>
        <w:t>do Bethel e Honorável Rainha. Ao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receber a ordem de pagamento devidamente assinada, a Tesoureira do Bethel ou o(a) Guardiã(o) Tesoureiro(a) deve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preencher e assinar os cheques. Todos os cheques devem ser vistados pelo(a) Guardiã(o) Tesoureiro(a) ou por outro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Membro Executivo do CGB autorizado. Todos os cheques devem ter duas (2) assinaturas. Quando os cheques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tiverem sido emitidos, a ordem de pagamento deve ser assinada pelo(a) Guardiã(o) Tesoureiro(a).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VESTIMENTA OFICIAL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Descrição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 veste oficial da Ordem deve ser usada pelas Oficiais e Coral do Bethel em todas as reuniões. Ela deve consistir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uma túnica branca Grega, combinação branca longa que pode ser inteira ou anágua, meias brancas que podem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longas ou na altura do joelho, sapatilhas brancas ou sandálias brancas sem estampas, capas e coroas para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Honorável Rainha, Primeira e Segunda Princesas, faixas de cabeça para todas as demais Oficiais. O Coral do Bethel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deve usar faixas de cabeça.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 túnica deve ser de tecido leve ou pesado, com cordões brancos para as Oficiais, exceto Honorável Rainha,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Primeira e Segunda Princesas, e cordões na cor roxa para os membros do Coral do Bethel. As mangas em forma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asa e as dimensões da pala devem estar de acordo com o padrão aprovado pelo Conselho de Curadores e Oficiais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Executivos do SCG.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As cordas devem ser alinhavadas ao longo da parte inferior da costura da pala até três (3) polegadas (7,5 cm)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 cada lado do centro frontal (medido na curva da pala), cruzadas no centro frontal três (3) vezes, passadas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então uma vez ao redor da cintura e amarradas no centro frontal com um nó quadrado a uma (1) polegada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(2,5 cm) abaixo da linha natural da cintura. A costura do ombro da pala pode ser presa à roupa de baixo se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desejado.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As túnicas devem estar a uma distância de três (3) polegadas (7,5 cm) do chão, com uma bainha de quatro (4)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polegadas (10 cm), e a combinação a uma distância de quatro (4) a seis (6) polegadas (10 a 15 cm) do chão.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Coroas, capas, cordões e faixas de cabeça devem ser como prescritos pelo SCG, as capas oficiais sendo de veludo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ou tecido aveludado na cor roxa, adornadas com um desenho branco em estilo grego ou, caso este não seja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disponível, com um adorno aprovado pelo Conselho de Curadores, delineado com material na cor roxa ou não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delineado, como for preferido. Nenhum outro adorno deve ser usado sobre as capas.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Uso da Veste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Oficiais e Coral do Bethel devem usar as túnicas oficiais em todas as reuniões.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Os membros a serem instalados em cargos ou no Coral do Bethel devem usar as túnicas oficiais para a Cerimônia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Instalação, exceto os membros atuando como Oficiais Instaladoras, que podem ser instaladas usando seus vestidos,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observando as seguintes condições: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A Oficial Instaladora não deve instalar a si mesma em qualquer cargo ou no Coral do Bethel.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lastRenderedPageBreak/>
        <w:t>(2) Qualquer membro sendo instalado como Honorável Rainha ou Princesa deve usar uma túnica oficial.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As capas, coroas e faixas de cabeça oficiais devem ser usadas pelos membros do Bethel apenas com a túnica oficial.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(d) Joias</w:t>
      </w:r>
      <w:r>
        <w:rPr>
          <w:rFonts w:ascii="Arial" w:hAnsi="Arial" w:cs="Arial"/>
        </w:rPr>
        <w:tab/>
      </w:r>
      <w:r w:rsidRPr="008C6DFC">
        <w:rPr>
          <w:rFonts w:ascii="Arial" w:hAnsi="Arial" w:cs="Arial"/>
        </w:rPr>
        <w:t xml:space="preserve"> usadas com a túnica oficial devem se limitar aos broches oficiais de membro e/ou joias de oficial, prêmios, um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relógio de pulso e uma peça de joia adicional apropriada à vestimenta de nossa Ordem e aprovada pelos </w:t>
      </w:r>
      <w:r>
        <w:rPr>
          <w:rFonts w:ascii="Arial" w:hAnsi="Arial" w:cs="Arial"/>
        </w:rPr>
        <w:t>m</w:t>
      </w:r>
      <w:r w:rsidRPr="008C6DFC">
        <w:rPr>
          <w:rFonts w:ascii="Arial" w:hAnsi="Arial" w:cs="Arial"/>
        </w:rPr>
        <w:t>embros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Executivos do CGB. (Vide E-GCG Art. XVII Seç. 1.24)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O uso da veste oficial da Ordem em público é permitido somente para fins promocionais e apenas com 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consentimento dos membros Executivos do CGB.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XIII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DISCIPLINA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Supervisão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Todos os membros devem estar sob a direta supervisão dos membros Executivos do Conselho Guardião do Bethel,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que terão a autoridade de investigar, repreender, suspender e expulsar oficiais ou membros por justa causa.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Perda do Cargo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Uma oficial do Bethel deve perder seu cargo e as honrarias devidas a ele se faltar a três (3) reuniões regulares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Bethel sem razões boas e suficientes. Os membros Executivos do Conselho Guardião do Bethel devem determinar 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validade da razão.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3. Suspensão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Insubordinação, não pagamento de taxas ou retenção de dinheiro ou propriedades do Bethel serão considerados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razão para repreensão ou suspensão.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Suspensão, exceto por não pagamento de taxas, não deve exceder um período de seis (6) meses. Após este período,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 membro suspenso deve ser reintegrado ou expulso por maioria de votos dos membros Executivos do Conselho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Guardião do Bethel.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4. Expulsão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Conduta que reflita descrédito sobre a Ordem ou desobediência flagrante ou deliberada às leis da Ordem devem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consideradas razão para expulsão.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Uma Filha que se case ou engravide enquanto ocupando um cargo no Bethel deve abdicar imediatamente deste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cargo. Deixar de fazê-lo será considerado razão para expulsão da Ordem.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5. Apelação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Os membros do Bethel terão o direito de apelar contra qualquer ato ou decisão dos membros Executivos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Conselho Guardião do Bethel que possam revogar quaisquer direitos e privilégios especificamente garantidos a eles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por este Estatuto de Bethel e pela Constituição e Estatutos do SCG.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lastRenderedPageBreak/>
        <w:t>(b) Se nenhuma apelação for feita em um prazo de sessenta (60) dias após o ato ou decisão, as partes lesadas perderão 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direito de apelar.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XIV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LICENÇA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Geral (Vide B-Bethel Art. III para mais detalhes)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Um membro regular e livre de quaisquer razões que o desabonem que deseje afastar-se da Ordem, ou que deseje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solicitar transferência por qualquer razão, deve, através de requisição por escrito aos membros Executivos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Conselho Guardião do Bethel, receber uma Licença (Formulário 210) que lhe dará direito ao privilégio de visitar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Bethéis por um período de seis (6) meses a contar da data de emissão.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Desistências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  <w:b/>
          <w:bCs/>
        </w:rPr>
        <w:t xml:space="preserve">(a) </w:t>
      </w:r>
      <w:r w:rsidRPr="008C6DFC">
        <w:rPr>
          <w:rFonts w:ascii="Arial" w:hAnsi="Arial" w:cs="Arial"/>
        </w:rPr>
        <w:t xml:space="preserve">Uma Filha que tenha desistido (ou deixado por </w:t>
      </w:r>
      <w:r>
        <w:rPr>
          <w:rFonts w:ascii="Arial" w:hAnsi="Arial" w:cs="Arial"/>
        </w:rPr>
        <w:t>r</w:t>
      </w:r>
      <w:r w:rsidRPr="008C6DFC">
        <w:rPr>
          <w:rFonts w:ascii="Arial" w:hAnsi="Arial" w:cs="Arial"/>
        </w:rPr>
        <w:t>azões pessoais) seu Bethel pode peticionar um Bethel para se tornar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um membro. (Vide (B-Bethel Art. III Seç. 3)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XV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EMENDAS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 Código Uniforme para Bethéis pode sofrer emendas seguindo-se os procedimentos fornecidos na POP-SCG-16,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#2 Emendas.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Prerrogativas de um Bethel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As seguintes partes deste Código Uniforme podem sofrer emendas por um Bethel: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Art. I, Sec. 1. Cidade/Local(ais) em que o Bethel se reúne.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Art. IV, Sec. 1. Semana, dia, hora e local de reuniões regulares, e Sec. 2, período de férias.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Art. VI, Sec. 2. Meses em que a eleição é realizada.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(4) Art. VIII, Sec. 1. Meses em que a instalação é realizada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(5) Art. XI, Sec. 2 e 3. Valor das taxas de iniciação e anual do Bethel.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(6) Art. XX Seç. 1 (b). Regras Locais de Operação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Emendas devem ser feitas apresentando, ao Bethel, a emenda proposta por escrito, e uma cópia da emenda proposta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enviada a cada membro do Bethel, cada Membro Executivo do CGB e ao(à) Supremo(a)/Grande Deputado(a) após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 que, pelo menos uma (1) reunião regular do Bethel deve acontecer antes de se deliberar a respeito. Dois terços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(2/3) de votos afirmativos dos membros votantes do Bethel são necessários para a adoção de tal(is) emenda(s).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(c) Pelo menos sete (7) cópias do Formulário 122, preenchido e com o selo do Bethel, devem ser submetidas pelo(a)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Guardiã(o) Secretário(a) à(o) Presidente do Comitê de Jurisprudência do SCG/GCG, que deve encaminhar o mesmo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para aprovação.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lastRenderedPageBreak/>
        <w:t>(d) Cópias das emendas submetidas por Bethéis jurisdicionados ao Supremo, quando aprovadas e assinadas pela Vice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Suprema Guardiã e pelo(a) Presidente do Comitê de Jurisprudência do SCG, devem ser distribuídas como segue: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Uma (1) cópia para a Suprema Guardiã;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Uma (1) cópia para a Vice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Suprema Guardiã;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(3) Uma (1) cópia para o escritório do SCG;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(4) Uma (1) cópia para o(a) Presidente do Comitê de Jurisprudência do SCG;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(5) Uma (1) cópia para o(a) Supremo(a) Deputado(a)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(6) Duas (2) ou mais cópias para serem devolvidas ao Bethel.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(e) Cópias das emendas submetidas por Bethéis em uma Grande Jurisdição, quando aprovadas e assinadas de acordo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com o Manual de Regras e Regulamentos do GCG, devem ser distribuídas como definido em tal Manual de Regras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 Regulamentos.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(f) As emendas não se tornam efetivas até que a notificação de aprovação tenha sido enviada para o Bethel pelo Comitê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 Jurisprudência do SCG/GCG. As emendas ao Código Uniforme de Estatuto devem retornar ao Bethel no prazo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de sessenta (60) dias após o recebimento.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XVI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RECOMENDAÇÕES PARA MEMBROS EXECUTIVOS DO CGB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Os membros do Bethel têm o privilégio de submeter, por voto secreto, recomendações referentes àqueles a serem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selecionados como membros Executivos do Conselho Guardião do Bethel.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As cédulas devem ser coletadas e lacradas em um envelope na presença dos membros do Bethel pela Secretária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Bethel, que deve enviá-las pelo correio para a Vice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Suprema/Grande Guardiã.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XVII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JÓIA DE PAST HONORÁVEL RAINHA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Regular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Cada Honorável Rainha que tenha servido fielmente ao Bethel pelo período para o qual foi eleita deve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presenteada com um Certificado de Past Honorável Rainha tamanho “cartão” (Formulário 172) e com uma Joia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oficial de Past Honorável Rainha.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Ao repetir uma gestão inteira como Honorável Rainha, um presente em reconhecimento pelos servidos prestados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pode ser dado em lugar de uma joia de Past Honorável Rainha.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Especial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Uma Honorável Rainha cuja saída do cargo se faça necessária devido a circunstâncias imprevistas, deve ser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reconhecida como uma Past Honorável Rainha e ser intitulada a todas as honrarias, incluindo o Certificado de Past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Honorável Rainha tamanho “cartão” e uma joia de Past Honorável Rainha, em </w:t>
      </w:r>
      <w:r w:rsidRPr="008C6DFC">
        <w:rPr>
          <w:rFonts w:ascii="Arial" w:hAnsi="Arial" w:cs="Arial"/>
        </w:rPr>
        <w:lastRenderedPageBreak/>
        <w:t>reconhecimento aos serviços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prestados, contanto que ela tenha sido considerada qualificada no cargo pelos membros Executivos do Conselho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Guardião do Bethel.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A decisão, incluindo as razões que a motivaram, deve ser emitida por escrito.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No caso de decisão negativa, a Honorável Rainha deve ser informada do processo para uma apelação (POPSCG-1 Seç. 1 e 2).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XVIII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MEMBROS ESPECIAIS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 Membros de Maioridade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Ao atingir vinte (20) anos de idade, ou casar-se antes desta idade, todo membro regular torna-se um Membro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Maioridade. Ela deve receber imediatamente e gratuitamente um certificado de Membro de Maioridade no final da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gestão e ser intitulada a receber a Cerimônia de Maioridade em momento julgado conveniente.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(1) Se ela completar vinte (20) anos, deve ter todos os direitos e privilégios até o final da gestão.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(2) Se ela se casar, terá todos os direitos e privilégios de um membro, exceto votar e ocupar cargo.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Ela estará isenta do pagamento de taxas.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2. Membro de Honra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Um adulto que tenha prestado serviços de alta projeção meritória à Ordem, pode ser eleito como um Membro de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Honra do Bethel, e receber um Certificado de Membro de Honra (Formulário 170), por maioria de votos dos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membros do Bethel e com aprovação dos membros Executivos do Conselho Guardião do Bethel.</w:t>
      </w:r>
    </w:p>
    <w:p w:rsidR="00364685" w:rsidRPr="008C6DFC" w:rsidRDefault="00364685" w:rsidP="00364685">
      <w:pPr>
        <w:spacing w:after="0" w:line="360" w:lineRule="auto"/>
        <w:jc w:val="both"/>
        <w:rPr>
          <w:rFonts w:ascii="Arial" w:hAnsi="Arial" w:cs="Arial"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XIX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PERDA DE HONRARIAS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Membros do Bethel que tenham desistido da Ordem, sido suspensas, expulsas ou recebido uma licença e esta tenha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expirado, perdem o direito de ser apresentadas ou usar quaisquer títulos recebidos durante seu tempo como membro.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 reintegração como membro reintegra automaticamente o direito de uso dos títulos previamente recebidos.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ARTIGO XX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PROVISÕES GERAIS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Seção 1.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(a) Regras de Operação Local - Um Bethel pode adotar regras de operação tratando de finanças e outras questões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operacionais diversas, desde que estas Regras de Operação Local não conflitem com as Regras e Regulamentos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 xml:space="preserve">SCG ou GCG no qual o Bethel reside. Todas as Regras de Operação </w:t>
      </w:r>
      <w:r w:rsidRPr="008C6DFC">
        <w:rPr>
          <w:rFonts w:ascii="Arial" w:hAnsi="Arial" w:cs="Arial"/>
        </w:rPr>
        <w:lastRenderedPageBreak/>
        <w:t>Local devem ser aprovadas pelos membros do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Bethel como uma emenda ao seu Estatuto (seguindo os procedimentos para aprovação de emendas), ser aprovadas</w:t>
      </w:r>
      <w:r>
        <w:rPr>
          <w:rFonts w:ascii="Arial" w:hAnsi="Arial" w:cs="Arial"/>
        </w:rPr>
        <w:t xml:space="preserve"> </w:t>
      </w:r>
      <w:r w:rsidRPr="008C6DFC">
        <w:rPr>
          <w:rFonts w:ascii="Arial" w:hAnsi="Arial" w:cs="Arial"/>
        </w:rPr>
        <w:t>pelo Comitê de Jurisprudência e publicadas como parte do Código Uniforme do Bethel antes de serem efetivadas.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(b) As Regras Locais de Operação são as seguintes: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APROVADO: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Vice</w:t>
      </w:r>
      <w:r>
        <w:rPr>
          <w:rFonts w:ascii="Arial" w:hAnsi="Arial" w:cs="Arial"/>
        </w:rPr>
        <w:t xml:space="preserve"> Grande</w:t>
      </w:r>
      <w:r w:rsidRPr="008C6DFC">
        <w:rPr>
          <w:rFonts w:ascii="Arial" w:hAnsi="Arial" w:cs="Arial"/>
        </w:rPr>
        <w:t xml:space="preserve"> Guardiã ______________________</w:t>
      </w:r>
      <w:r>
        <w:rPr>
          <w:rFonts w:ascii="Arial" w:hAnsi="Arial" w:cs="Arial"/>
        </w:rPr>
        <w:t>_</w:t>
      </w:r>
      <w:r w:rsidRPr="008C6DFC">
        <w:rPr>
          <w:rFonts w:ascii="Arial" w:hAnsi="Arial" w:cs="Arial"/>
        </w:rPr>
        <w:t>______________________ Data _______________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Presidente da Jurisprudência _______________________________________ Data </w:t>
      </w:r>
      <w:r>
        <w:rPr>
          <w:rFonts w:ascii="Arial" w:hAnsi="Arial" w:cs="Arial"/>
        </w:rPr>
        <w:t>_______________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>Membro da Jurisprudência __________________________________</w:t>
      </w:r>
      <w:r>
        <w:rPr>
          <w:rFonts w:ascii="Arial" w:hAnsi="Arial" w:cs="Arial"/>
        </w:rPr>
        <w:t>_______ Data _______________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Membro da Jurisprudência _________________________________________ </w:t>
      </w:r>
      <w:r>
        <w:rPr>
          <w:rFonts w:ascii="Arial" w:hAnsi="Arial" w:cs="Arial"/>
        </w:rPr>
        <w:t>Data _______________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Membro da Jurisprudência _________________________________________ </w:t>
      </w:r>
      <w:r>
        <w:rPr>
          <w:rFonts w:ascii="Arial" w:hAnsi="Arial" w:cs="Arial"/>
        </w:rPr>
        <w:t>Data _______________</w:t>
      </w: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C6DFC">
        <w:rPr>
          <w:rFonts w:ascii="Arial" w:hAnsi="Arial" w:cs="Arial"/>
        </w:rPr>
        <w:t xml:space="preserve">Membro da Jurisprudência _________________________________________ </w:t>
      </w:r>
      <w:r>
        <w:rPr>
          <w:rFonts w:ascii="Arial" w:hAnsi="Arial" w:cs="Arial"/>
        </w:rPr>
        <w:t>Data _______________</w:t>
      </w:r>
    </w:p>
    <w:p w:rsidR="00364685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364685" w:rsidRPr="008C6DFC" w:rsidRDefault="00364685" w:rsidP="00364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8C6DFC">
        <w:rPr>
          <w:rFonts w:ascii="Arial" w:hAnsi="Arial" w:cs="Arial"/>
          <w:b/>
          <w:bCs/>
        </w:rPr>
        <w:t>VERIFICADO:</w:t>
      </w:r>
    </w:p>
    <w:p w:rsidR="00153309" w:rsidRPr="00760801" w:rsidRDefault="00364685" w:rsidP="007608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Grande </w:t>
      </w:r>
      <w:r w:rsidRPr="008C6DFC">
        <w:rPr>
          <w:rFonts w:ascii="Arial" w:hAnsi="Arial" w:cs="Arial"/>
        </w:rPr>
        <w:t xml:space="preserve">Deputada(o) </w:t>
      </w:r>
      <w:r>
        <w:rPr>
          <w:rFonts w:ascii="Arial" w:hAnsi="Arial" w:cs="Arial"/>
        </w:rPr>
        <w:t>__</w:t>
      </w:r>
      <w:r w:rsidRPr="008C6DFC">
        <w:rPr>
          <w:rFonts w:ascii="Arial" w:hAnsi="Arial" w:cs="Arial"/>
        </w:rPr>
        <w:t>_______________________________________</w:t>
      </w:r>
      <w:r>
        <w:rPr>
          <w:rFonts w:ascii="Arial" w:hAnsi="Arial" w:cs="Arial"/>
        </w:rPr>
        <w:t>____</w:t>
      </w:r>
      <w:r w:rsidRPr="008C6DFC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Data _______________</w:t>
      </w:r>
      <w:bookmarkStart w:id="0" w:name="_GoBack"/>
      <w:bookmarkEnd w:id="0"/>
    </w:p>
    <w:sectPr w:rsidR="00153309" w:rsidRPr="00760801" w:rsidSect="008C6DF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85"/>
    <w:rsid w:val="00364685"/>
    <w:rsid w:val="00631DF8"/>
    <w:rsid w:val="00687310"/>
    <w:rsid w:val="00734191"/>
    <w:rsid w:val="00760801"/>
    <w:rsid w:val="007D5E62"/>
    <w:rsid w:val="008B618D"/>
    <w:rsid w:val="008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4386</Words>
  <Characters>23687</Characters>
  <Application>Microsoft Office Word</Application>
  <DocSecurity>0</DocSecurity>
  <Lines>197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2017-07-28T19:29:00Z</dcterms:created>
  <dcterms:modified xsi:type="dcterms:W3CDTF">2017-08-16T13:33:00Z</dcterms:modified>
</cp:coreProperties>
</file>